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AB3DCE" w14:textId="77777777" w:rsidR="00DA6B0F" w:rsidRDefault="00000000">
      <w:pPr>
        <w:spacing w:after="0"/>
        <w:jc w:val="center"/>
        <w:rPr>
          <w:rFonts w:ascii="Tahoma" w:eastAsia="Tahoma" w:hAnsi="Tahoma" w:cs="Tahoma"/>
          <w:b/>
          <w:bCs/>
          <w:sz w:val="20"/>
          <w:szCs w:val="20"/>
        </w:rPr>
      </w:pPr>
      <w:bookmarkStart w:id="0" w:name="_we4u6qrav4zz" w:colFirst="0" w:colLast="0"/>
      <w:bookmarkEnd w:id="0"/>
      <w:r>
        <w:rPr>
          <w:rFonts w:ascii="Tahoma" w:eastAsia="Tahoma" w:hAnsi="Tahoma" w:cs="Tahoma"/>
          <w:b/>
          <w:bCs/>
          <w:sz w:val="20"/>
          <w:szCs w:val="20"/>
        </w:rPr>
        <w:t>NÚMERO DEL PROCESO</w:t>
      </w:r>
      <w:r>
        <w:rPr>
          <w:rFonts w:ascii="Tahoma" w:eastAsia="Tahoma" w:hAnsi="Tahoma" w:cs="Tahoma"/>
          <w:b/>
          <w:bCs/>
          <w:sz w:val="20"/>
          <w:szCs w:val="20"/>
        </w:rPr>
        <w:tab/>
        <w:t>CMA-010-2025</w:t>
      </w:r>
    </w:p>
    <w:p w14:paraId="306EE858" w14:textId="77777777" w:rsidR="00DA6B0F" w:rsidRDefault="00DA6B0F">
      <w:pPr>
        <w:spacing w:after="0"/>
        <w:jc w:val="center"/>
        <w:rPr>
          <w:rFonts w:ascii="Tahoma" w:eastAsia="Tahoma" w:hAnsi="Tahoma" w:cs="Tahoma"/>
          <w:b/>
          <w:bCs/>
          <w:sz w:val="20"/>
          <w:szCs w:val="20"/>
        </w:rPr>
      </w:pPr>
    </w:p>
    <w:p w14:paraId="29D45003" w14:textId="77777777" w:rsidR="00DA6B0F" w:rsidRDefault="00000000">
      <w:pPr>
        <w:spacing w:after="0"/>
        <w:ind w:left="1410" w:hanging="1410"/>
        <w:jc w:val="both"/>
        <w:rPr>
          <w:rFonts w:ascii="Tahoma" w:eastAsia="Tahoma" w:hAnsi="Tahoma" w:cs="Tahoma"/>
          <w:color w:val="000000"/>
          <w:sz w:val="20"/>
          <w:szCs w:val="20"/>
          <w:highlight w:val="white"/>
        </w:rPr>
      </w:pPr>
      <w:r>
        <w:rPr>
          <w:rFonts w:ascii="Tahoma" w:eastAsia="Tahoma" w:hAnsi="Tahoma" w:cs="Tahoma"/>
          <w:sz w:val="20"/>
          <w:szCs w:val="20"/>
        </w:rPr>
        <w:t xml:space="preserve">OBJETO: </w:t>
      </w:r>
      <w:r>
        <w:rPr>
          <w:rFonts w:ascii="Tahoma" w:eastAsia="Tahoma" w:hAnsi="Tahoma" w:cs="Tahoma"/>
          <w:sz w:val="20"/>
          <w:szCs w:val="20"/>
        </w:rPr>
        <w:tab/>
      </w:r>
      <w:r>
        <w:rPr>
          <w:rFonts w:ascii="Tahoma" w:eastAsia="Tahoma" w:hAnsi="Tahoma" w:cs="Tahoma"/>
          <w:color w:val="000000"/>
          <w:sz w:val="20"/>
          <w:szCs w:val="20"/>
          <w:highlight w:val="white"/>
        </w:rPr>
        <w:t>INTERVENTORÍA INTEGRAL PARA REALIZAR LAS REPARACIONES LOCATIVAS Y LAS ACTIVIDADES DE MANTENIMIENTO PREVENTIVO Y CORRECTIVO EN LAS INSTITUCIONES EDUCATIVAS OFICIALES DEL MUNICIPIO DE CHIA, CUNDINAMARCA.</w:t>
      </w:r>
    </w:p>
    <w:p w14:paraId="510E46F9" w14:textId="77777777" w:rsidR="00DA6B0F" w:rsidRDefault="00DA6B0F">
      <w:pPr>
        <w:spacing w:after="0"/>
        <w:jc w:val="both"/>
        <w:rPr>
          <w:rFonts w:ascii="Tahoma" w:eastAsia="Tahoma" w:hAnsi="Tahoma" w:cs="Tahoma"/>
          <w:color w:val="000000"/>
          <w:sz w:val="20"/>
          <w:szCs w:val="20"/>
          <w:highlight w:val="white"/>
        </w:rPr>
      </w:pPr>
    </w:p>
    <w:p w14:paraId="2BC5AE07" w14:textId="72106B08" w:rsidR="00DA6B0F" w:rsidRDefault="00000000">
      <w:pPr>
        <w:spacing w:after="0"/>
        <w:ind w:left="1410" w:hanging="1410"/>
        <w:jc w:val="both"/>
        <w:rPr>
          <w:rFonts w:ascii="Tahoma" w:eastAsia="Tahoma" w:hAnsi="Tahoma" w:cs="Tahoma"/>
          <w:b/>
          <w:bCs/>
          <w:color w:val="000000"/>
          <w:sz w:val="20"/>
          <w:szCs w:val="20"/>
          <w:highlight w:val="white"/>
        </w:rPr>
      </w:pPr>
      <w:r>
        <w:rPr>
          <w:rFonts w:ascii="Tahoma" w:eastAsia="Tahoma" w:hAnsi="Tahoma" w:cs="Tahoma"/>
          <w:b/>
          <w:bCs/>
          <w:color w:val="000000"/>
          <w:sz w:val="20"/>
          <w:szCs w:val="20"/>
          <w:highlight w:val="white"/>
        </w:rPr>
        <w:t xml:space="preserve">ASUNTO: </w:t>
      </w:r>
      <w:r>
        <w:rPr>
          <w:rFonts w:ascii="Tahoma" w:eastAsia="Tahoma" w:hAnsi="Tahoma" w:cs="Tahoma"/>
          <w:b/>
          <w:bCs/>
          <w:color w:val="000000"/>
          <w:sz w:val="20"/>
          <w:szCs w:val="20"/>
          <w:highlight w:val="white"/>
        </w:rPr>
        <w:tab/>
        <w:t xml:space="preserve">ALCANCE </w:t>
      </w:r>
      <w:r w:rsidR="00D009F6">
        <w:rPr>
          <w:rFonts w:ascii="Tahoma" w:eastAsia="Tahoma" w:hAnsi="Tahoma" w:cs="Tahoma"/>
          <w:b/>
          <w:bCs/>
          <w:color w:val="000000"/>
          <w:sz w:val="20"/>
          <w:szCs w:val="20"/>
          <w:highlight w:val="white"/>
        </w:rPr>
        <w:t>ACLARACIÓN</w:t>
      </w:r>
      <w:r>
        <w:rPr>
          <w:rFonts w:ascii="Tahoma" w:eastAsia="Tahoma" w:hAnsi="Tahoma" w:cs="Tahoma"/>
          <w:b/>
          <w:bCs/>
          <w:color w:val="000000"/>
          <w:sz w:val="20"/>
          <w:szCs w:val="20"/>
          <w:highlight w:val="white"/>
        </w:rPr>
        <w:t xml:space="preserve"> AL INFORME PRELIMINAR NO. 1 – ASPECTOS TÉCNICOS - ANEXO EVALUACIÓN DE EXPERIENCIA, TÉCNICA Y PUNTUABLE CMA-010-2025 – COORDINADORES DE INTERVENTORÍA </w:t>
      </w:r>
    </w:p>
    <w:p w14:paraId="59B207C7" w14:textId="77777777" w:rsidR="00DA6B0F" w:rsidRDefault="00DA6B0F">
      <w:pPr>
        <w:spacing w:after="0"/>
        <w:jc w:val="both"/>
        <w:rPr>
          <w:rFonts w:ascii="Tahoma" w:eastAsia="Tahoma" w:hAnsi="Tahoma" w:cs="Tahoma"/>
          <w:sz w:val="20"/>
          <w:szCs w:val="20"/>
        </w:rPr>
      </w:pPr>
    </w:p>
    <w:p w14:paraId="1DE130D7" w14:textId="77777777" w:rsidR="00DA6B0F" w:rsidRDefault="00DA6B0F">
      <w:pPr>
        <w:spacing w:after="0"/>
        <w:jc w:val="both"/>
        <w:rPr>
          <w:rFonts w:ascii="Tahoma" w:eastAsia="Tahoma" w:hAnsi="Tahoma" w:cs="Tahoma"/>
          <w:sz w:val="20"/>
          <w:szCs w:val="20"/>
        </w:rPr>
      </w:pPr>
    </w:p>
    <w:p w14:paraId="631B6FE3" w14:textId="77777777" w:rsidR="00DA6B0F" w:rsidRDefault="00000000">
      <w:pPr>
        <w:spacing w:after="0"/>
        <w:jc w:val="both"/>
        <w:rPr>
          <w:rFonts w:ascii="Tahoma" w:eastAsia="Tahoma" w:hAnsi="Tahoma" w:cs="Tahoma"/>
          <w:sz w:val="20"/>
          <w:szCs w:val="20"/>
        </w:rPr>
      </w:pPr>
      <w:r>
        <w:rPr>
          <w:rFonts w:ascii="Tahoma" w:eastAsia="Tahoma" w:hAnsi="Tahoma" w:cs="Tahoma"/>
          <w:sz w:val="20"/>
          <w:szCs w:val="20"/>
        </w:rPr>
        <w:t>Cordial saludo,</w:t>
      </w:r>
    </w:p>
    <w:p w14:paraId="2EA031C1" w14:textId="77777777" w:rsidR="00DA6B0F" w:rsidRDefault="00DA6B0F">
      <w:pPr>
        <w:tabs>
          <w:tab w:val="left" w:pos="1118"/>
        </w:tabs>
        <w:spacing w:after="0"/>
        <w:jc w:val="both"/>
        <w:rPr>
          <w:rFonts w:ascii="Tahoma" w:eastAsia="Tahoma" w:hAnsi="Tahoma" w:cs="Tahoma"/>
          <w:sz w:val="20"/>
          <w:szCs w:val="20"/>
        </w:rPr>
      </w:pPr>
    </w:p>
    <w:p w14:paraId="52A18E3B" w14:textId="77777777" w:rsidR="00DA6B0F" w:rsidRDefault="00000000">
      <w:pPr>
        <w:pBdr>
          <w:top w:val="nil"/>
          <w:left w:val="nil"/>
          <w:bottom w:val="nil"/>
          <w:right w:val="nil"/>
          <w:between w:val="nil"/>
        </w:pBdr>
        <w:spacing w:line="240" w:lineRule="auto"/>
        <w:jc w:val="both"/>
        <w:rPr>
          <w:rFonts w:ascii="Tahoma" w:eastAsia="Tahoma" w:hAnsi="Tahoma" w:cs="Tahoma"/>
          <w:color w:val="000000"/>
          <w:sz w:val="20"/>
          <w:szCs w:val="20"/>
        </w:rPr>
      </w:pPr>
      <w:r>
        <w:rPr>
          <w:rFonts w:ascii="Tahoma" w:eastAsia="Tahoma" w:hAnsi="Tahoma" w:cs="Tahoma"/>
          <w:color w:val="000000"/>
          <w:sz w:val="20"/>
          <w:szCs w:val="20"/>
        </w:rPr>
        <w:t xml:space="preserve">En relación con el </w:t>
      </w:r>
      <w:r>
        <w:rPr>
          <w:rFonts w:ascii="Tahoma" w:eastAsia="Tahoma" w:hAnsi="Tahoma" w:cs="Tahoma"/>
          <w:b/>
          <w:bCs/>
          <w:color w:val="000000"/>
          <w:sz w:val="20"/>
          <w:szCs w:val="20"/>
        </w:rPr>
        <w:t>Consolidado de Evaluación – Concurso de Méritos Abierto CMA-010-2025</w:t>
      </w:r>
      <w:r>
        <w:rPr>
          <w:rFonts w:ascii="Tahoma" w:eastAsia="Tahoma" w:hAnsi="Tahoma" w:cs="Tahoma"/>
          <w:color w:val="000000"/>
          <w:sz w:val="20"/>
          <w:szCs w:val="20"/>
        </w:rPr>
        <w:t xml:space="preserve">, mediante el cual la entidad calificó a la empresa </w:t>
      </w:r>
      <w:r>
        <w:rPr>
          <w:rFonts w:ascii="Tahoma" w:eastAsia="Tahoma" w:hAnsi="Tahoma" w:cs="Tahoma"/>
          <w:b/>
          <w:bCs/>
          <w:color w:val="000000"/>
          <w:sz w:val="20"/>
          <w:szCs w:val="20"/>
        </w:rPr>
        <w:t>CONSULTORES, DESARROLLO Y AMBIENTE S.A.S. BIC</w:t>
      </w:r>
      <w:r>
        <w:rPr>
          <w:rFonts w:ascii="Tahoma" w:eastAsia="Tahoma" w:hAnsi="Tahoma" w:cs="Tahoma"/>
          <w:color w:val="000000"/>
          <w:sz w:val="20"/>
          <w:szCs w:val="20"/>
        </w:rPr>
        <w:t xml:space="preserve"> como </w:t>
      </w:r>
      <w:r>
        <w:rPr>
          <w:rFonts w:ascii="Tahoma" w:eastAsia="Tahoma" w:hAnsi="Tahoma" w:cs="Tahoma"/>
          <w:b/>
          <w:bCs/>
          <w:color w:val="000000"/>
          <w:sz w:val="20"/>
          <w:szCs w:val="20"/>
        </w:rPr>
        <w:t>NO HABILITADA</w:t>
      </w:r>
      <w:r>
        <w:rPr>
          <w:rFonts w:ascii="Tahoma" w:eastAsia="Tahoma" w:hAnsi="Tahoma" w:cs="Tahoma"/>
          <w:color w:val="000000"/>
          <w:sz w:val="20"/>
          <w:szCs w:val="20"/>
        </w:rPr>
        <w:t>, respetuosamente nos permitimos presentar las siguientes aclaraciones:</w:t>
      </w:r>
    </w:p>
    <w:p w14:paraId="1ADA5476" w14:textId="77777777" w:rsidR="00DA6B0F" w:rsidRDefault="00000000">
      <w:pPr>
        <w:pBdr>
          <w:top w:val="nil"/>
          <w:left w:val="nil"/>
          <w:bottom w:val="nil"/>
          <w:right w:val="nil"/>
          <w:between w:val="nil"/>
        </w:pBdr>
        <w:spacing w:line="240" w:lineRule="auto"/>
        <w:jc w:val="both"/>
        <w:rPr>
          <w:rFonts w:ascii="Tahoma" w:eastAsia="Tahoma" w:hAnsi="Tahoma" w:cs="Tahoma"/>
          <w:color w:val="000000"/>
          <w:sz w:val="20"/>
          <w:szCs w:val="20"/>
        </w:rPr>
      </w:pPr>
      <w:r>
        <w:rPr>
          <w:rFonts w:ascii="Tahoma" w:eastAsia="Tahoma" w:hAnsi="Tahoma" w:cs="Tahoma"/>
          <w:color w:val="000000"/>
          <w:sz w:val="20"/>
          <w:szCs w:val="20"/>
        </w:rPr>
        <w:t xml:space="preserve">Dentro de la plataforma </w:t>
      </w:r>
      <w:r>
        <w:rPr>
          <w:rFonts w:ascii="Tahoma" w:eastAsia="Tahoma" w:hAnsi="Tahoma" w:cs="Tahoma"/>
          <w:b/>
          <w:bCs/>
          <w:color w:val="000000"/>
          <w:sz w:val="20"/>
          <w:szCs w:val="20"/>
        </w:rPr>
        <w:t>SECOP II</w:t>
      </w:r>
      <w:r>
        <w:rPr>
          <w:rFonts w:ascii="Tahoma" w:eastAsia="Tahoma" w:hAnsi="Tahoma" w:cs="Tahoma"/>
          <w:color w:val="000000"/>
          <w:sz w:val="20"/>
          <w:szCs w:val="20"/>
        </w:rPr>
        <w:t xml:space="preserve">, en el módulo </w:t>
      </w:r>
      <w:r>
        <w:rPr>
          <w:rFonts w:ascii="Tahoma" w:eastAsia="Tahoma" w:hAnsi="Tahoma" w:cs="Tahoma"/>
          <w:b/>
          <w:bCs/>
          <w:color w:val="000000"/>
          <w:sz w:val="20"/>
          <w:szCs w:val="20"/>
        </w:rPr>
        <w:t>EQUIPO DE TRABAJO (Personal Clave Evaluable)</w:t>
      </w:r>
      <w:r>
        <w:rPr>
          <w:rFonts w:ascii="Tahoma" w:eastAsia="Tahoma" w:hAnsi="Tahoma" w:cs="Tahoma"/>
          <w:color w:val="000000"/>
          <w:sz w:val="20"/>
          <w:szCs w:val="20"/>
        </w:rPr>
        <w:t xml:space="preserve">, los proponentes deben acreditar los requisitos establecidos en el pliego de condiciones. En cumplimiento de ello, nuestra empresa cargó el archivo </w:t>
      </w:r>
      <w:r>
        <w:rPr>
          <w:rFonts w:ascii="Tahoma" w:eastAsia="Tahoma" w:hAnsi="Tahoma" w:cs="Tahoma"/>
          <w:b/>
          <w:bCs/>
          <w:color w:val="000000"/>
          <w:sz w:val="20"/>
          <w:szCs w:val="20"/>
        </w:rPr>
        <w:t>“20. PERSONAL INTER.zip”</w:t>
      </w:r>
      <w:r>
        <w:rPr>
          <w:rFonts w:ascii="Tahoma" w:eastAsia="Tahoma" w:hAnsi="Tahoma" w:cs="Tahoma"/>
          <w:color w:val="000000"/>
          <w:sz w:val="20"/>
          <w:szCs w:val="20"/>
        </w:rPr>
        <w:t>, donde reposan todos los documentos exigidos para:</w:t>
      </w:r>
    </w:p>
    <w:p w14:paraId="44E70357" w14:textId="77777777" w:rsidR="00DA6B0F" w:rsidRDefault="00000000">
      <w:pPr>
        <w:numPr>
          <w:ilvl w:val="0"/>
          <w:numId w:val="1"/>
        </w:numPr>
        <w:pBdr>
          <w:top w:val="nil"/>
          <w:left w:val="nil"/>
          <w:bottom w:val="nil"/>
          <w:right w:val="nil"/>
          <w:between w:val="nil"/>
        </w:pBdr>
        <w:spacing w:line="240" w:lineRule="auto"/>
        <w:jc w:val="both"/>
        <w:rPr>
          <w:color w:val="000000"/>
        </w:rPr>
      </w:pPr>
      <w:r>
        <w:rPr>
          <w:rFonts w:ascii="Tahoma" w:eastAsia="Tahoma" w:hAnsi="Tahoma" w:cs="Tahoma"/>
          <w:color w:val="000000"/>
          <w:sz w:val="20"/>
          <w:szCs w:val="20"/>
        </w:rPr>
        <w:t>La verificación de la experiencia habilitante del</w:t>
      </w:r>
      <w:r>
        <w:rPr>
          <w:rFonts w:ascii="Tahoma" w:eastAsia="Tahoma" w:hAnsi="Tahoma" w:cs="Tahoma"/>
          <w:b/>
          <w:bCs/>
          <w:color w:val="000000"/>
          <w:sz w:val="20"/>
          <w:szCs w:val="20"/>
          <w:u w:val="single"/>
        </w:rPr>
        <w:t xml:space="preserve"> personal clave.</w:t>
      </w:r>
    </w:p>
    <w:p w14:paraId="6D77FD97" w14:textId="77777777" w:rsidR="00DA6B0F" w:rsidRDefault="00000000">
      <w:pPr>
        <w:numPr>
          <w:ilvl w:val="0"/>
          <w:numId w:val="1"/>
        </w:numPr>
        <w:pBdr>
          <w:top w:val="nil"/>
          <w:left w:val="nil"/>
          <w:bottom w:val="nil"/>
          <w:right w:val="nil"/>
          <w:between w:val="nil"/>
        </w:pBdr>
        <w:spacing w:line="240" w:lineRule="auto"/>
        <w:jc w:val="both"/>
        <w:rPr>
          <w:color w:val="000000"/>
        </w:rPr>
      </w:pPr>
      <w:r>
        <w:rPr>
          <w:rFonts w:ascii="Tahoma" w:eastAsia="Tahoma" w:hAnsi="Tahoma" w:cs="Tahoma"/>
          <w:color w:val="000000"/>
          <w:sz w:val="20"/>
          <w:szCs w:val="20"/>
        </w:rPr>
        <w:t>La acreditación del año adicional de experiencia y de la formación académica requerida para la asignación de puntaje.</w:t>
      </w:r>
    </w:p>
    <w:p w14:paraId="2F4873A8" w14:textId="77777777" w:rsidR="00DA6B0F" w:rsidRDefault="00000000">
      <w:pPr>
        <w:pBdr>
          <w:top w:val="nil"/>
          <w:left w:val="nil"/>
          <w:bottom w:val="nil"/>
          <w:right w:val="nil"/>
          <w:between w:val="nil"/>
        </w:pBdr>
        <w:spacing w:line="240" w:lineRule="auto"/>
        <w:jc w:val="both"/>
        <w:rPr>
          <w:rFonts w:ascii="Tahoma" w:eastAsia="Tahoma" w:hAnsi="Tahoma" w:cs="Tahoma"/>
          <w:color w:val="000000"/>
          <w:sz w:val="20"/>
          <w:szCs w:val="20"/>
        </w:rPr>
      </w:pPr>
      <w:r>
        <w:rPr>
          <w:rFonts w:ascii="Tahoma" w:eastAsia="Tahoma" w:hAnsi="Tahoma" w:cs="Tahoma"/>
          <w:color w:val="000000"/>
          <w:sz w:val="20"/>
          <w:szCs w:val="20"/>
        </w:rPr>
        <w:t xml:space="preserve">Dicha información puede observarse claramente   que fue cargada como se muestra en el pantallazo aportado en el sistema: </w:t>
      </w:r>
    </w:p>
    <w:p w14:paraId="0989B9CB" w14:textId="77777777" w:rsidR="00DA6B0F" w:rsidRDefault="00000000">
      <w:pPr>
        <w:spacing w:after="0"/>
        <w:jc w:val="both"/>
        <w:rPr>
          <w:rFonts w:ascii="Tahoma" w:eastAsia="Tahoma" w:hAnsi="Tahoma" w:cs="Tahoma"/>
          <w:sz w:val="20"/>
          <w:szCs w:val="20"/>
        </w:rPr>
      </w:pPr>
      <w:r>
        <w:rPr>
          <w:rFonts w:ascii="Tahoma" w:eastAsia="Tahoma" w:hAnsi="Tahoma" w:cs="Tahoma"/>
          <w:sz w:val="20"/>
          <w:szCs w:val="20"/>
        </w:rPr>
        <w:t xml:space="preserve"> </w:t>
      </w:r>
    </w:p>
    <w:p w14:paraId="03A95859" w14:textId="77777777" w:rsidR="00DA6B0F" w:rsidRDefault="00000000">
      <w:pPr>
        <w:spacing w:after="0"/>
        <w:ind w:left="-993"/>
        <w:jc w:val="both"/>
        <w:rPr>
          <w:rFonts w:ascii="Tahoma" w:eastAsia="Tahoma" w:hAnsi="Tahoma" w:cs="Tahoma"/>
          <w:sz w:val="20"/>
          <w:szCs w:val="20"/>
        </w:rPr>
      </w:pPr>
      <w:r>
        <w:rPr>
          <w:rFonts w:ascii="Tahoma" w:eastAsia="Tahoma" w:hAnsi="Tahoma" w:cs="Tahoma"/>
          <w:noProof/>
          <w:sz w:val="20"/>
          <w:szCs w:val="20"/>
        </w:rPr>
        <w:drawing>
          <wp:inline distT="0" distB="0" distL="0" distR="0" wp14:anchorId="32D0EDE7" wp14:editId="14439661">
            <wp:extent cx="7032040" cy="3365642"/>
            <wp:effectExtent l="12700" t="12700" r="12700" b="127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7032040" cy="3365642"/>
                    </a:xfrm>
                    <a:prstGeom prst="rect">
                      <a:avLst/>
                    </a:prstGeom>
                    <a:ln w="12700">
                      <a:solidFill>
                        <a:srgbClr val="000000"/>
                      </a:solidFill>
                      <a:prstDash val="solid"/>
                    </a:ln>
                  </pic:spPr>
                </pic:pic>
              </a:graphicData>
            </a:graphic>
          </wp:inline>
        </w:drawing>
      </w:r>
    </w:p>
    <w:p w14:paraId="12AEF945" w14:textId="77777777" w:rsidR="00DA6B0F" w:rsidRDefault="00000000">
      <w:pPr>
        <w:spacing w:after="0"/>
        <w:jc w:val="center"/>
        <w:rPr>
          <w:rFonts w:ascii="Tahoma" w:eastAsia="Tahoma" w:hAnsi="Tahoma" w:cs="Tahoma"/>
          <w:b/>
          <w:bCs/>
          <w:sz w:val="20"/>
          <w:szCs w:val="20"/>
        </w:rPr>
      </w:pPr>
      <w:r>
        <w:rPr>
          <w:rFonts w:ascii="Tahoma" w:eastAsia="Tahoma" w:hAnsi="Tahoma" w:cs="Tahoma"/>
          <w:b/>
          <w:bCs/>
          <w:sz w:val="20"/>
          <w:szCs w:val="20"/>
        </w:rPr>
        <w:t>Fuente: pantallazo del SECOP II</w:t>
      </w:r>
    </w:p>
    <w:p w14:paraId="5D9D829D" w14:textId="77777777" w:rsidR="00DA6B0F" w:rsidRDefault="00DA6B0F">
      <w:pPr>
        <w:spacing w:after="0"/>
        <w:jc w:val="both"/>
        <w:rPr>
          <w:rFonts w:ascii="Tahoma" w:eastAsia="Tahoma" w:hAnsi="Tahoma" w:cs="Tahoma"/>
          <w:sz w:val="20"/>
          <w:szCs w:val="20"/>
        </w:rPr>
      </w:pPr>
    </w:p>
    <w:p w14:paraId="7EA8A3DD" w14:textId="77777777" w:rsidR="00DA6B0F" w:rsidRDefault="00DA6B0F">
      <w:pPr>
        <w:spacing w:after="0"/>
        <w:jc w:val="both"/>
        <w:rPr>
          <w:rFonts w:ascii="Tahoma" w:eastAsia="Tahoma" w:hAnsi="Tahoma" w:cs="Tahoma"/>
          <w:sz w:val="20"/>
          <w:szCs w:val="20"/>
        </w:rPr>
      </w:pPr>
    </w:p>
    <w:p w14:paraId="26A34588" w14:textId="77777777" w:rsidR="00DA6B0F" w:rsidRDefault="00000000">
      <w:pPr>
        <w:spacing w:after="0"/>
        <w:jc w:val="both"/>
        <w:rPr>
          <w:rFonts w:ascii="Tahoma" w:eastAsia="Tahoma" w:hAnsi="Tahoma" w:cs="Tahoma"/>
          <w:sz w:val="20"/>
          <w:szCs w:val="20"/>
        </w:rPr>
      </w:pPr>
      <w:r>
        <w:rPr>
          <w:rFonts w:ascii="Tahoma" w:eastAsia="Tahoma" w:hAnsi="Tahoma" w:cs="Tahoma"/>
          <w:sz w:val="20"/>
          <w:szCs w:val="20"/>
        </w:rPr>
        <w:t xml:space="preserve">Con base en lo anterior, solicitamos respetuosamente a la entidad contratante </w:t>
      </w:r>
      <w:r>
        <w:rPr>
          <w:rFonts w:ascii="Tahoma" w:eastAsia="Tahoma" w:hAnsi="Tahoma" w:cs="Tahoma"/>
          <w:b/>
          <w:bCs/>
          <w:sz w:val="20"/>
          <w:szCs w:val="20"/>
        </w:rPr>
        <w:t>revisar nuevamente la documentación cargada al cierre del proceso</w:t>
      </w:r>
      <w:r>
        <w:rPr>
          <w:rFonts w:ascii="Tahoma" w:eastAsia="Tahoma" w:hAnsi="Tahoma" w:cs="Tahoma"/>
          <w:sz w:val="20"/>
          <w:szCs w:val="20"/>
        </w:rPr>
        <w:t xml:space="preserve">, dado que </w:t>
      </w:r>
      <w:r>
        <w:rPr>
          <w:rFonts w:ascii="Tahoma" w:eastAsia="Tahoma" w:hAnsi="Tahoma" w:cs="Tahoma"/>
          <w:b/>
          <w:bCs/>
          <w:sz w:val="20"/>
          <w:szCs w:val="20"/>
        </w:rPr>
        <w:t>CONSULTORES, DESARROLLO Y AMBIENTE S.A.S. BIC cumple integralmente los requisitos para su habilitación</w:t>
      </w:r>
      <w:r>
        <w:rPr>
          <w:rFonts w:ascii="Tahoma" w:eastAsia="Tahoma" w:hAnsi="Tahoma" w:cs="Tahoma"/>
          <w:sz w:val="20"/>
          <w:szCs w:val="20"/>
        </w:rPr>
        <w:t xml:space="preserve">, tanto en lo correspondiente al personal clave como en los factores de evaluación asociados a la asignación de puntaje. </w:t>
      </w:r>
    </w:p>
    <w:p w14:paraId="60AF29C7" w14:textId="77777777" w:rsidR="00DA6B0F" w:rsidRDefault="00DA6B0F">
      <w:pPr>
        <w:spacing w:after="0"/>
        <w:jc w:val="both"/>
        <w:rPr>
          <w:rFonts w:ascii="Tahoma" w:eastAsia="Tahoma" w:hAnsi="Tahoma" w:cs="Tahoma"/>
          <w:sz w:val="20"/>
          <w:szCs w:val="20"/>
        </w:rPr>
      </w:pPr>
    </w:p>
    <w:p w14:paraId="3AE29A0D" w14:textId="77777777" w:rsidR="00DA6B0F" w:rsidRDefault="00000000">
      <w:pPr>
        <w:spacing w:after="0"/>
        <w:jc w:val="both"/>
        <w:rPr>
          <w:rFonts w:ascii="Tahoma" w:eastAsia="Tahoma" w:hAnsi="Tahoma" w:cs="Tahoma"/>
          <w:sz w:val="20"/>
          <w:szCs w:val="20"/>
        </w:rPr>
      </w:pPr>
      <w:r>
        <w:rPr>
          <w:rFonts w:ascii="Tahoma" w:eastAsia="Tahoma" w:hAnsi="Tahoma" w:cs="Tahoma"/>
          <w:sz w:val="20"/>
          <w:szCs w:val="20"/>
        </w:rPr>
        <w:t xml:space="preserve">En carpeta de la plataforma del </w:t>
      </w:r>
      <w:proofErr w:type="spellStart"/>
      <w:r>
        <w:rPr>
          <w:rFonts w:ascii="Tahoma" w:eastAsia="Tahoma" w:hAnsi="Tahoma" w:cs="Tahoma"/>
          <w:sz w:val="20"/>
          <w:szCs w:val="20"/>
        </w:rPr>
        <w:t>secop</w:t>
      </w:r>
      <w:proofErr w:type="spellEnd"/>
      <w:r>
        <w:rPr>
          <w:rFonts w:ascii="Tahoma" w:eastAsia="Tahoma" w:hAnsi="Tahoma" w:cs="Tahoma"/>
          <w:sz w:val="20"/>
          <w:szCs w:val="20"/>
        </w:rPr>
        <w:t xml:space="preserve"> II se cargó las siguientes hojas de vida como se observa en el pantallazo: </w:t>
      </w:r>
    </w:p>
    <w:p w14:paraId="3D7BE965" w14:textId="77777777" w:rsidR="00DA6B0F" w:rsidRDefault="00DA6B0F">
      <w:pPr>
        <w:spacing w:after="0"/>
        <w:jc w:val="both"/>
        <w:rPr>
          <w:rFonts w:ascii="Tahoma" w:eastAsia="Tahoma" w:hAnsi="Tahoma" w:cs="Tahoma"/>
          <w:sz w:val="20"/>
          <w:szCs w:val="20"/>
        </w:rPr>
      </w:pPr>
    </w:p>
    <w:p w14:paraId="5503EF58" w14:textId="77777777" w:rsidR="00D009F6" w:rsidRDefault="00D009F6">
      <w:pPr>
        <w:spacing w:after="0"/>
        <w:jc w:val="both"/>
        <w:rPr>
          <w:rFonts w:ascii="Tahoma" w:eastAsia="Tahoma" w:hAnsi="Tahoma" w:cs="Tahoma"/>
          <w:sz w:val="20"/>
          <w:szCs w:val="20"/>
        </w:rPr>
      </w:pPr>
    </w:p>
    <w:p w14:paraId="4D4C5729" w14:textId="77777777" w:rsidR="00D009F6" w:rsidRDefault="00D009F6">
      <w:pPr>
        <w:spacing w:after="0"/>
        <w:jc w:val="both"/>
        <w:rPr>
          <w:rFonts w:ascii="Tahoma" w:eastAsia="Tahoma" w:hAnsi="Tahoma" w:cs="Tahoma"/>
          <w:sz w:val="20"/>
          <w:szCs w:val="20"/>
        </w:rPr>
      </w:pPr>
    </w:p>
    <w:p w14:paraId="3717282E" w14:textId="77777777" w:rsidR="00D009F6" w:rsidRDefault="00D009F6">
      <w:pPr>
        <w:spacing w:after="0"/>
        <w:jc w:val="both"/>
        <w:rPr>
          <w:rFonts w:ascii="Tahoma" w:eastAsia="Tahoma" w:hAnsi="Tahoma" w:cs="Tahoma"/>
          <w:sz w:val="20"/>
          <w:szCs w:val="20"/>
        </w:rPr>
      </w:pPr>
    </w:p>
    <w:p w14:paraId="0EF3BB06" w14:textId="77777777" w:rsidR="00D009F6" w:rsidRDefault="00D009F6">
      <w:pPr>
        <w:spacing w:after="0"/>
        <w:jc w:val="both"/>
        <w:rPr>
          <w:rFonts w:ascii="Tahoma" w:eastAsia="Tahoma" w:hAnsi="Tahoma" w:cs="Tahoma"/>
          <w:sz w:val="20"/>
          <w:szCs w:val="20"/>
        </w:rPr>
      </w:pPr>
    </w:p>
    <w:p w14:paraId="55B5965D" w14:textId="77777777" w:rsidR="00DA6B0F" w:rsidRDefault="00DA6B0F">
      <w:pPr>
        <w:spacing w:after="0"/>
        <w:jc w:val="both"/>
        <w:rPr>
          <w:rFonts w:ascii="Tahoma" w:eastAsia="Tahoma" w:hAnsi="Tahoma" w:cs="Tahoma"/>
          <w:sz w:val="20"/>
          <w:szCs w:val="20"/>
        </w:rPr>
      </w:pPr>
    </w:p>
    <w:p w14:paraId="32566359" w14:textId="77777777" w:rsidR="00DA6B0F" w:rsidRDefault="00DA6B0F">
      <w:pPr>
        <w:spacing w:after="0"/>
        <w:jc w:val="both"/>
        <w:rPr>
          <w:rFonts w:ascii="Tahoma" w:eastAsia="Tahoma" w:hAnsi="Tahoma" w:cs="Tahoma"/>
          <w:sz w:val="20"/>
          <w:szCs w:val="20"/>
        </w:rPr>
      </w:pPr>
    </w:p>
    <w:p w14:paraId="372E26F2" w14:textId="77777777" w:rsidR="00DA6B0F" w:rsidRDefault="00DA6B0F">
      <w:pPr>
        <w:spacing w:after="0"/>
        <w:jc w:val="both"/>
        <w:rPr>
          <w:rFonts w:ascii="Tahoma" w:eastAsia="Tahoma" w:hAnsi="Tahoma" w:cs="Tahoma"/>
          <w:sz w:val="20"/>
          <w:szCs w:val="20"/>
        </w:rPr>
      </w:pPr>
    </w:p>
    <w:p w14:paraId="0098F50C" w14:textId="77777777" w:rsidR="00DA6B0F" w:rsidRDefault="00000000">
      <w:pPr>
        <w:numPr>
          <w:ilvl w:val="0"/>
          <w:numId w:val="2"/>
        </w:numPr>
        <w:pBdr>
          <w:top w:val="nil"/>
          <w:left w:val="nil"/>
          <w:bottom w:val="nil"/>
          <w:right w:val="nil"/>
          <w:between w:val="nil"/>
        </w:pBdr>
        <w:spacing w:line="240" w:lineRule="auto"/>
        <w:jc w:val="both"/>
        <w:rPr>
          <w:rFonts w:ascii="Tahoma" w:eastAsia="Tahoma" w:hAnsi="Tahoma" w:cs="Tahoma"/>
          <w:b/>
          <w:bCs/>
          <w:color w:val="000000"/>
          <w:sz w:val="20"/>
          <w:szCs w:val="20"/>
        </w:rPr>
      </w:pPr>
      <w:r>
        <w:rPr>
          <w:rFonts w:ascii="Tahoma" w:eastAsia="Tahoma" w:hAnsi="Tahoma" w:cs="Tahoma"/>
          <w:b/>
          <w:bCs/>
          <w:color w:val="000000"/>
          <w:sz w:val="20"/>
          <w:szCs w:val="20"/>
        </w:rPr>
        <w:lastRenderedPageBreak/>
        <w:t>Director de Interventoría (Personal Clave)</w:t>
      </w:r>
      <w:r>
        <w:rPr>
          <w:rFonts w:ascii="Tahoma" w:eastAsia="Tahoma" w:hAnsi="Tahoma" w:cs="Tahoma"/>
          <w:b/>
          <w:bCs/>
          <w:color w:val="000000"/>
          <w:sz w:val="20"/>
          <w:szCs w:val="20"/>
        </w:rPr>
        <w:tab/>
        <w:t xml:space="preserve"> –</w:t>
      </w:r>
      <w:r>
        <w:rPr>
          <w:rFonts w:ascii="Tahoma" w:eastAsia="Tahoma" w:hAnsi="Tahoma" w:cs="Tahoma"/>
          <w:color w:val="000000"/>
          <w:sz w:val="20"/>
          <w:szCs w:val="20"/>
        </w:rPr>
        <w:t xml:space="preserve"> </w:t>
      </w:r>
      <w:r>
        <w:rPr>
          <w:rFonts w:ascii="Tahoma" w:eastAsia="Tahoma" w:hAnsi="Tahoma" w:cs="Tahoma"/>
          <w:color w:val="000000"/>
          <w:sz w:val="20"/>
          <w:szCs w:val="20"/>
        </w:rPr>
        <w:tab/>
      </w:r>
      <w:r>
        <w:rPr>
          <w:rFonts w:ascii="Tahoma" w:eastAsia="Tahoma" w:hAnsi="Tahoma" w:cs="Tahoma"/>
          <w:b/>
          <w:bCs/>
          <w:color w:val="000000"/>
          <w:sz w:val="20"/>
          <w:szCs w:val="20"/>
        </w:rPr>
        <w:t>Cantidad: 1</w:t>
      </w:r>
    </w:p>
    <w:p w14:paraId="06FD8CC1" w14:textId="77777777" w:rsidR="00DA6B0F" w:rsidRDefault="00000000">
      <w:pPr>
        <w:numPr>
          <w:ilvl w:val="0"/>
          <w:numId w:val="2"/>
        </w:numPr>
        <w:pBdr>
          <w:top w:val="nil"/>
          <w:left w:val="nil"/>
          <w:bottom w:val="nil"/>
          <w:right w:val="nil"/>
          <w:between w:val="nil"/>
        </w:pBdr>
        <w:spacing w:line="240" w:lineRule="auto"/>
        <w:jc w:val="both"/>
        <w:rPr>
          <w:rFonts w:ascii="Tahoma" w:eastAsia="Tahoma" w:hAnsi="Tahoma" w:cs="Tahoma"/>
          <w:b/>
          <w:bCs/>
          <w:color w:val="EE0000"/>
          <w:sz w:val="20"/>
          <w:szCs w:val="20"/>
        </w:rPr>
      </w:pPr>
      <w:proofErr w:type="gramStart"/>
      <w:r>
        <w:rPr>
          <w:rFonts w:ascii="Tahoma" w:eastAsia="Tahoma" w:hAnsi="Tahoma" w:cs="Tahoma"/>
          <w:b/>
          <w:bCs/>
          <w:color w:val="EE0000"/>
          <w:sz w:val="20"/>
          <w:szCs w:val="20"/>
          <w:u w:val="single"/>
        </w:rPr>
        <w:t>Coordinador  de</w:t>
      </w:r>
      <w:proofErr w:type="gramEnd"/>
      <w:r>
        <w:rPr>
          <w:rFonts w:ascii="Tahoma" w:eastAsia="Tahoma" w:hAnsi="Tahoma" w:cs="Tahoma"/>
          <w:b/>
          <w:bCs/>
          <w:color w:val="EE0000"/>
          <w:sz w:val="20"/>
          <w:szCs w:val="20"/>
          <w:u w:val="single"/>
        </w:rPr>
        <w:t xml:space="preserve"> Interventoría</w:t>
      </w:r>
      <w:r>
        <w:rPr>
          <w:rFonts w:ascii="Tahoma" w:eastAsia="Tahoma" w:hAnsi="Tahoma" w:cs="Tahoma"/>
          <w:b/>
          <w:bCs/>
          <w:color w:val="EE0000"/>
          <w:sz w:val="20"/>
          <w:szCs w:val="20"/>
        </w:rPr>
        <w:t xml:space="preserve"> (Personal Clave)     – </w:t>
      </w:r>
      <w:r>
        <w:rPr>
          <w:rFonts w:ascii="Tahoma" w:eastAsia="Tahoma" w:hAnsi="Tahoma" w:cs="Tahoma"/>
          <w:b/>
          <w:bCs/>
          <w:color w:val="EE0000"/>
          <w:sz w:val="20"/>
          <w:szCs w:val="20"/>
        </w:rPr>
        <w:tab/>
        <w:t>Cantidad: 2</w:t>
      </w:r>
    </w:p>
    <w:p w14:paraId="480D6EDA" w14:textId="77777777" w:rsidR="00DA6B0F" w:rsidRDefault="00000000">
      <w:pPr>
        <w:numPr>
          <w:ilvl w:val="0"/>
          <w:numId w:val="2"/>
        </w:numPr>
        <w:pBdr>
          <w:top w:val="nil"/>
          <w:left w:val="nil"/>
          <w:bottom w:val="nil"/>
          <w:right w:val="nil"/>
          <w:between w:val="nil"/>
        </w:pBdr>
        <w:spacing w:line="240" w:lineRule="auto"/>
        <w:jc w:val="both"/>
        <w:rPr>
          <w:rFonts w:ascii="Tahoma" w:eastAsia="Tahoma" w:hAnsi="Tahoma" w:cs="Tahoma"/>
          <w:b/>
          <w:bCs/>
          <w:color w:val="000000"/>
          <w:sz w:val="20"/>
          <w:szCs w:val="20"/>
        </w:rPr>
      </w:pPr>
      <w:r>
        <w:rPr>
          <w:rFonts w:ascii="Tahoma" w:eastAsia="Tahoma" w:hAnsi="Tahoma" w:cs="Tahoma"/>
          <w:b/>
          <w:bCs/>
          <w:color w:val="000000"/>
          <w:sz w:val="20"/>
          <w:szCs w:val="20"/>
        </w:rPr>
        <w:t>Profesional en SST (Personal Clave)</w:t>
      </w:r>
      <w:r>
        <w:rPr>
          <w:rFonts w:ascii="Tahoma" w:eastAsia="Tahoma" w:hAnsi="Tahoma" w:cs="Tahoma"/>
          <w:b/>
          <w:bCs/>
          <w:color w:val="000000"/>
          <w:sz w:val="20"/>
          <w:szCs w:val="20"/>
        </w:rPr>
        <w:tab/>
      </w:r>
      <w:r>
        <w:rPr>
          <w:rFonts w:ascii="Tahoma" w:eastAsia="Tahoma" w:hAnsi="Tahoma" w:cs="Tahoma"/>
          <w:b/>
          <w:bCs/>
          <w:color w:val="000000"/>
          <w:sz w:val="20"/>
          <w:szCs w:val="20"/>
        </w:rPr>
        <w:tab/>
        <w:t xml:space="preserve"> – </w:t>
      </w:r>
      <w:r>
        <w:rPr>
          <w:rFonts w:ascii="Tahoma" w:eastAsia="Tahoma" w:hAnsi="Tahoma" w:cs="Tahoma"/>
          <w:b/>
          <w:bCs/>
          <w:color w:val="000000"/>
          <w:sz w:val="20"/>
          <w:szCs w:val="20"/>
        </w:rPr>
        <w:tab/>
        <w:t>Cantidad: 1</w:t>
      </w:r>
    </w:p>
    <w:p w14:paraId="46628304" w14:textId="77777777" w:rsidR="00DA6B0F" w:rsidRDefault="00000000">
      <w:pPr>
        <w:spacing w:after="0"/>
        <w:jc w:val="both"/>
        <w:rPr>
          <w:rFonts w:ascii="Tahoma" w:eastAsia="Tahoma" w:hAnsi="Tahoma" w:cs="Tahoma"/>
          <w:b/>
          <w:bCs/>
          <w:sz w:val="20"/>
          <w:szCs w:val="20"/>
          <w:u w:val="single"/>
        </w:rPr>
      </w:pPr>
      <w:r>
        <w:rPr>
          <w:rFonts w:ascii="Tahoma" w:eastAsia="Tahoma" w:hAnsi="Tahoma" w:cs="Tahoma"/>
          <w:sz w:val="20"/>
          <w:szCs w:val="20"/>
        </w:rPr>
        <w:t xml:space="preserve">Cumpliendo cada uno de los requisitos del pliego de condiciones como se muestra en el siguiente pantallazo extraído de la página 24 de 56 </w:t>
      </w:r>
      <w:r>
        <w:rPr>
          <w:rFonts w:ascii="Tahoma" w:eastAsia="Tahoma" w:hAnsi="Tahoma" w:cs="Tahoma"/>
          <w:b/>
          <w:bCs/>
          <w:sz w:val="20"/>
          <w:szCs w:val="20"/>
          <w:u w:val="single"/>
        </w:rPr>
        <w:t xml:space="preserve">NUMERAL   3.9.1 EXIGENCIA MÍNIMA DE EXPERIENCIA DEL PROPONENTE   Y LA ADENDA OO1 </w:t>
      </w:r>
    </w:p>
    <w:p w14:paraId="4C48FC21" w14:textId="77777777" w:rsidR="00DA6B0F" w:rsidRDefault="00DA6B0F">
      <w:pPr>
        <w:spacing w:after="0"/>
        <w:jc w:val="both"/>
        <w:rPr>
          <w:rFonts w:ascii="Tahoma" w:eastAsia="Tahoma" w:hAnsi="Tahoma" w:cs="Tahoma"/>
          <w:b/>
          <w:bCs/>
          <w:sz w:val="20"/>
          <w:szCs w:val="20"/>
          <w:u w:val="single"/>
        </w:rPr>
      </w:pPr>
    </w:p>
    <w:p w14:paraId="26FD695D" w14:textId="77777777" w:rsidR="00DA6B0F" w:rsidRDefault="00DA6B0F">
      <w:pPr>
        <w:spacing w:after="0"/>
        <w:jc w:val="both"/>
        <w:rPr>
          <w:rFonts w:ascii="Tahoma" w:eastAsia="Tahoma" w:hAnsi="Tahoma" w:cs="Tahoma"/>
          <w:b/>
          <w:bCs/>
          <w:sz w:val="20"/>
          <w:szCs w:val="20"/>
          <w:u w:val="single"/>
        </w:rPr>
      </w:pPr>
    </w:p>
    <w:p w14:paraId="62BFD36C" w14:textId="0C13976B" w:rsidR="00DA6B0F" w:rsidRDefault="00000000">
      <w:p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En relación con la Adenda 001 denominada "Modificación de Pliegos de Condiciones Definitivas de la Convocatoria Pública CMA 010-2025", se permite aclarar que la empresa Consultores Desarrollo y </w:t>
      </w:r>
      <w:r w:rsidR="00D009F6">
        <w:rPr>
          <w:rFonts w:ascii="Times New Roman" w:eastAsia="Times New Roman" w:hAnsi="Times New Roman" w:cs="Times New Roman"/>
          <w:color w:val="000000"/>
          <w:sz w:val="24"/>
          <w:szCs w:val="24"/>
        </w:rPr>
        <w:t xml:space="preserve">Ambiente </w:t>
      </w:r>
      <w:proofErr w:type="gramStart"/>
      <w:r w:rsidR="00D009F6">
        <w:rPr>
          <w:rFonts w:ascii="Times New Roman" w:eastAsia="Times New Roman" w:hAnsi="Times New Roman" w:cs="Times New Roman"/>
          <w:color w:val="000000"/>
          <w:sz w:val="24"/>
          <w:szCs w:val="24"/>
        </w:rPr>
        <w:t>S.A.S</w:t>
      </w:r>
      <w:r>
        <w:rPr>
          <w:rFonts w:ascii="Times New Roman" w:eastAsia="Times New Roman" w:hAnsi="Times New Roman" w:cs="Times New Roman"/>
          <w:color w:val="000000"/>
          <w:sz w:val="24"/>
          <w:szCs w:val="24"/>
        </w:rPr>
        <w:t xml:space="preserve">  ha</w:t>
      </w:r>
      <w:proofErr w:type="gramEnd"/>
      <w:r>
        <w:rPr>
          <w:rFonts w:ascii="Times New Roman" w:eastAsia="Times New Roman" w:hAnsi="Times New Roman" w:cs="Times New Roman"/>
          <w:color w:val="000000"/>
          <w:sz w:val="24"/>
          <w:szCs w:val="24"/>
        </w:rPr>
        <w:t xml:space="preserve"> dado cumplimiento a lo establecido en  la  adenda 01</w:t>
      </w:r>
    </w:p>
    <w:p w14:paraId="741ED0BD" w14:textId="77777777" w:rsidR="00DA6B0F" w:rsidRDefault="00000000">
      <w:p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Si bien es cierto que la empresa cargó la carpeta denominada "residente", es importante destacar que esta es una mera denominación del nombre de la carpeta. La empresa, en cumplimiento con los requisitos establecidos, ha remitido dos hojas de vida correspondientes al cargo de </w:t>
      </w:r>
      <w:r>
        <w:rPr>
          <w:rFonts w:ascii="Times New Roman" w:eastAsia="Times New Roman" w:hAnsi="Times New Roman" w:cs="Times New Roman"/>
          <w:b/>
          <w:bCs/>
          <w:color w:val="000000"/>
          <w:sz w:val="24"/>
          <w:szCs w:val="24"/>
        </w:rPr>
        <w:t>Coordinador de Interventoría - Personal Clave</w:t>
      </w:r>
      <w:r>
        <w:rPr>
          <w:rFonts w:ascii="Times New Roman" w:eastAsia="Times New Roman" w:hAnsi="Times New Roman" w:cs="Times New Roman"/>
          <w:color w:val="000000"/>
          <w:sz w:val="24"/>
          <w:szCs w:val="24"/>
        </w:rPr>
        <w:t xml:space="preserve">. Ambas hojas de vida corresponden a Ingenieros Civiles debidamente matriculados, vigentes en COPNIA, con más de cuatro años de experiencia a partir de la obtención de la tarjeta profesional. Además, ambos profesionales cuentan con más de dos años de experiencia como director o residente en proyectos de mantenimiento, mejoramiento y construcción de reparaciones locativas de edificaciones en proyectos de interventoría cumpliendo el requerimiento detallado de coordinador de interventoría </w:t>
      </w:r>
    </w:p>
    <w:p w14:paraId="5D3AE230" w14:textId="77777777" w:rsidR="00DA6B0F" w:rsidRDefault="00000000">
      <w:p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Se hace la siguiente aclaración para precisar que la carpeta denominada "residente" corresponde únicamente a una denominación utilizada en el sistema. Esta carpeta hace referencia al cargo de </w:t>
      </w:r>
      <w:r>
        <w:rPr>
          <w:rFonts w:ascii="Times New Roman" w:eastAsia="Times New Roman" w:hAnsi="Times New Roman" w:cs="Times New Roman"/>
          <w:b/>
          <w:bCs/>
          <w:color w:val="000000"/>
          <w:sz w:val="24"/>
          <w:szCs w:val="24"/>
        </w:rPr>
        <w:t>Coordinador de Interventoría</w:t>
      </w:r>
      <w:r>
        <w:rPr>
          <w:rFonts w:ascii="Times New Roman" w:eastAsia="Times New Roman" w:hAnsi="Times New Roman" w:cs="Times New Roman"/>
          <w:color w:val="000000"/>
          <w:sz w:val="24"/>
          <w:szCs w:val="24"/>
        </w:rPr>
        <w:t>, cargo que cumple con todos los requisitos establecidos en el pliego de condiciones de la convocatoria, garantizando el cumplimiento adecuado de los mismos.</w:t>
      </w:r>
    </w:p>
    <w:p w14:paraId="37042B46" w14:textId="77777777" w:rsidR="00DA6B0F" w:rsidRDefault="00000000">
      <w:p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 solicita a la Alcaldía Municipal de Chía revisar las hojas de vida de los profesionales remitidos y corroborar que cumplen con la totalidad de la experiencia requerida como coordinadores de interventoría, conforme a lo estipulado en los términos de la convocatoria.</w:t>
      </w:r>
    </w:p>
    <w:p w14:paraId="35FCDC1F" w14:textId="77777777" w:rsidR="00DA6B0F" w:rsidRDefault="00DA6B0F">
      <w:pPr>
        <w:spacing w:after="0"/>
        <w:jc w:val="both"/>
        <w:rPr>
          <w:rFonts w:ascii="Tahoma" w:eastAsia="Tahoma" w:hAnsi="Tahoma" w:cs="Tahoma"/>
          <w:b/>
          <w:bCs/>
          <w:sz w:val="20"/>
          <w:szCs w:val="20"/>
          <w:u w:val="single"/>
        </w:rPr>
      </w:pPr>
    </w:p>
    <w:p w14:paraId="409553E0" w14:textId="77777777" w:rsidR="00DA6B0F" w:rsidRDefault="00DA6B0F">
      <w:pPr>
        <w:spacing w:after="0"/>
        <w:jc w:val="both"/>
        <w:rPr>
          <w:rFonts w:ascii="Tahoma" w:eastAsia="Tahoma" w:hAnsi="Tahoma" w:cs="Tahoma"/>
          <w:b/>
          <w:bCs/>
          <w:sz w:val="20"/>
          <w:szCs w:val="20"/>
          <w:u w:val="single"/>
        </w:rPr>
      </w:pPr>
    </w:p>
    <w:p w14:paraId="3BBF7E35" w14:textId="77777777" w:rsidR="00DA6B0F" w:rsidRDefault="00DA6B0F">
      <w:pPr>
        <w:spacing w:after="0"/>
        <w:jc w:val="both"/>
        <w:rPr>
          <w:rFonts w:ascii="Tahoma" w:eastAsia="Tahoma" w:hAnsi="Tahoma" w:cs="Tahoma"/>
          <w:b/>
          <w:bCs/>
          <w:sz w:val="20"/>
          <w:szCs w:val="20"/>
          <w:u w:val="single"/>
        </w:rPr>
      </w:pPr>
    </w:p>
    <w:p w14:paraId="3C599C2F" w14:textId="77777777" w:rsidR="00DA6B0F" w:rsidRDefault="00000000">
      <w:pPr>
        <w:pBdr>
          <w:top w:val="nil"/>
          <w:left w:val="nil"/>
          <w:bottom w:val="nil"/>
          <w:right w:val="nil"/>
          <w:between w:val="nil"/>
        </w:pBdr>
        <w:spacing w:line="240" w:lineRule="auto"/>
        <w:jc w:val="both"/>
        <w:rPr>
          <w:rFonts w:ascii="Tahoma" w:eastAsia="Tahoma" w:hAnsi="Tahoma" w:cs="Tahoma"/>
          <w:color w:val="000000"/>
          <w:sz w:val="20"/>
          <w:szCs w:val="20"/>
        </w:rPr>
      </w:pPr>
      <w:r>
        <w:rPr>
          <w:rFonts w:ascii="Tahoma" w:eastAsia="Tahoma" w:hAnsi="Tahoma" w:cs="Tahoma"/>
          <w:color w:val="000000"/>
          <w:sz w:val="20"/>
          <w:szCs w:val="20"/>
        </w:rPr>
        <w:t>Quedamos atentos a la respuesta correspondiente.</w:t>
      </w:r>
    </w:p>
    <w:p w14:paraId="54C98440" w14:textId="77777777" w:rsidR="00DA6B0F" w:rsidRDefault="00000000">
      <w:pPr>
        <w:pBdr>
          <w:top w:val="nil"/>
          <w:left w:val="nil"/>
          <w:bottom w:val="nil"/>
          <w:right w:val="nil"/>
          <w:between w:val="nil"/>
        </w:pBdr>
        <w:spacing w:line="240" w:lineRule="auto"/>
        <w:jc w:val="both"/>
        <w:rPr>
          <w:rFonts w:ascii="Tahoma" w:eastAsia="Tahoma" w:hAnsi="Tahoma" w:cs="Tahoma"/>
          <w:color w:val="000000"/>
          <w:sz w:val="20"/>
          <w:szCs w:val="20"/>
        </w:rPr>
      </w:pPr>
      <w:r>
        <w:rPr>
          <w:rFonts w:ascii="Tahoma" w:eastAsia="Tahoma" w:hAnsi="Tahoma" w:cs="Tahoma"/>
          <w:color w:val="000000"/>
          <w:sz w:val="20"/>
          <w:szCs w:val="20"/>
        </w:rPr>
        <w:t>Atentamente,</w:t>
      </w:r>
    </w:p>
    <w:p w14:paraId="51E36889" w14:textId="77777777" w:rsidR="00DA6B0F" w:rsidRDefault="00000000">
      <w:pPr>
        <w:pBdr>
          <w:top w:val="nil"/>
          <w:left w:val="nil"/>
          <w:bottom w:val="nil"/>
          <w:right w:val="nil"/>
          <w:between w:val="nil"/>
        </w:pBdr>
        <w:spacing w:line="240" w:lineRule="auto"/>
        <w:jc w:val="both"/>
        <w:rPr>
          <w:rFonts w:ascii="Tahoma" w:eastAsia="Tahoma" w:hAnsi="Tahoma" w:cs="Tahoma"/>
          <w:b/>
          <w:bCs/>
          <w:color w:val="000000"/>
          <w:sz w:val="20"/>
          <w:szCs w:val="20"/>
        </w:rPr>
      </w:pPr>
      <w:r>
        <w:rPr>
          <w:rFonts w:ascii="Tahoma" w:eastAsia="Tahoma" w:hAnsi="Tahoma" w:cs="Tahoma"/>
          <w:b/>
          <w:bCs/>
          <w:color w:val="000000"/>
          <w:sz w:val="20"/>
          <w:szCs w:val="20"/>
        </w:rPr>
        <w:br/>
        <w:t>CONSULTORES, DESARROLLO Y AMBIENTE S.A.S. BIC</w:t>
      </w:r>
    </w:p>
    <w:p w14:paraId="1C2E2F15" w14:textId="77777777" w:rsidR="00DA6B0F" w:rsidRDefault="00DA6B0F">
      <w:pPr>
        <w:spacing w:after="0"/>
        <w:jc w:val="both"/>
        <w:rPr>
          <w:rFonts w:ascii="Tahoma" w:eastAsia="Tahoma" w:hAnsi="Tahoma" w:cs="Tahoma"/>
          <w:sz w:val="20"/>
          <w:szCs w:val="20"/>
        </w:rPr>
      </w:pPr>
    </w:p>
    <w:sectPr w:rsidR="00DA6B0F">
      <w:pgSz w:w="12240" w:h="20160"/>
      <w:pgMar w:top="1843" w:right="1701" w:bottom="709" w:left="1276"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040DE676-017D-4476-89FE-D050AA0FD61F}"/>
    <w:embedBold r:id="rId2" w:fontKey="{02B5D025-E1EF-4DFF-B26F-8691C351FC69}"/>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5D205562-FA66-488F-8668-BAAE1D8F323D}"/>
  </w:font>
  <w:font w:name="Tahoma">
    <w:panose1 w:val="020B0604030504040204"/>
    <w:charset w:val="00"/>
    <w:family w:val="swiss"/>
    <w:pitch w:val="variable"/>
    <w:sig w:usb0="E1002EFF" w:usb1="C000605B" w:usb2="00000029" w:usb3="00000000" w:csb0="000101FF" w:csb1="00000000"/>
    <w:embedRegular r:id="rId4" w:fontKey="{7E531ABE-41EF-4D47-9CD4-D8B7DBF85ABB}"/>
    <w:embedBold r:id="rId5" w:fontKey="{4A493BEC-C2DE-475F-B8D6-58DF98CBD449}"/>
  </w:font>
  <w:font w:name="Cambria">
    <w:panose1 w:val="02040503050406030204"/>
    <w:charset w:val="00"/>
    <w:family w:val="roman"/>
    <w:pitch w:val="variable"/>
    <w:sig w:usb0="E00006FF" w:usb1="420024FF" w:usb2="02000000" w:usb3="00000000" w:csb0="0000019F" w:csb1="00000000"/>
    <w:embedRegular r:id="rId6" w:fontKey="{6D15C585-E3E2-4A26-A78E-862EFC3F0469}"/>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FA6435"/>
    <w:multiLevelType w:val="multilevel"/>
    <w:tmpl w:val="0C2A193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7CCA1762"/>
    <w:multiLevelType w:val="multilevel"/>
    <w:tmpl w:val="7D3250D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383213279">
    <w:abstractNumId w:val="1"/>
  </w:num>
  <w:num w:numId="2" w16cid:durableId="17907759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6B0F"/>
    <w:rsid w:val="00D009F6"/>
    <w:rsid w:val="00DA6B0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1F74FF"/>
  <w15:docId w15:val="{309008A8-0EB9-4641-B2C7-2C2C653D38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s-CO" w:eastAsia="es-C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40" w:after="0"/>
      <w:outlineLvl w:val="1"/>
    </w:pPr>
    <w:rPr>
      <w:color w:val="2F5496"/>
      <w:sz w:val="26"/>
      <w:szCs w:val="26"/>
    </w:rPr>
  </w:style>
  <w:style w:type="paragraph" w:styleId="Ttulo3">
    <w:name w:val="heading 3"/>
    <w:basedOn w:val="Normal"/>
    <w:next w:val="Normal"/>
    <w:uiPriority w:val="9"/>
    <w:semiHidden/>
    <w:unhideWhenUsed/>
    <w:qFormat/>
    <w:pPr>
      <w:spacing w:line="240" w:lineRule="auto"/>
      <w:outlineLvl w:val="2"/>
    </w:pPr>
    <w:rPr>
      <w:rFonts w:ascii="Times New Roman" w:eastAsia="Times New Roman" w:hAnsi="Times New Roman" w:cs="Times New Roman"/>
      <w:b/>
      <w:bCs/>
      <w:sz w:val="27"/>
      <w:szCs w:val="27"/>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633</Words>
  <Characters>3485</Characters>
  <Application>Microsoft Office Word</Application>
  <DocSecurity>0</DocSecurity>
  <Lines>29</Lines>
  <Paragraphs>8</Paragraphs>
  <ScaleCrop>false</ScaleCrop>
  <Company/>
  <LinksUpToDate>false</LinksUpToDate>
  <CharactersWithSpaces>4110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John Fredy Aragón Pinzón - Dad</cp:lastModifiedBy>
  <cp:revision>2</cp:revision>
  <dcterms:created xsi:type="dcterms:W3CDTF">2025-12-05T17:32:00Z</dcterms:created>
  <dcterms:modified xsi:type="dcterms:W3CDTF">2025-12-05T17:39:00Z</dcterms:modified>
</cp:coreProperties>
</file>